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rPr/>
      </w:pPr>
      <w:hyperlink r:id="rId2">
        <w:r>
          <w:rPr>
            <w:rStyle w:val="Style13"/>
          </w:rPr>
          <w:t>Распоряжение Правительства РФ от 6 октября 2021 г. N 2816-р Об утверждении перечня инициатив социально-экономического развития РФ до 2030 г.</w:t>
        </w:r>
      </w:hyperlink>
    </w:p>
    <w:p>
      <w:pPr>
        <w:pStyle w:val="Normal"/>
        <w:ind w:firstLine="720"/>
        <w:rPr>
          <w:rStyle w:val="Style15"/>
        </w:rPr>
      </w:pPr>
      <w:r>
        <w:rPr/>
      </w:r>
    </w:p>
    <w:p>
      <w:pPr>
        <w:pStyle w:val="Normal"/>
        <w:ind w:firstLine="720"/>
        <w:rPr/>
      </w:pPr>
      <w:r>
        <w:rPr>
          <w:rStyle w:val="Style15"/>
        </w:rPr>
        <w:t xml:space="preserve">Утвердить прилагаемый </w:t>
      </w:r>
      <w:hyperlink w:anchor="sub_1000">
        <w:r>
          <w:rPr>
            <w:rStyle w:val="Style13"/>
          </w:rPr>
          <w:t>перечень</w:t>
        </w:r>
      </w:hyperlink>
      <w:r>
        <w:rPr>
          <w:rStyle w:val="Style15"/>
        </w:rPr>
        <w:t xml:space="preserve"> инициатив социально-экономического развития Российской Федерации до 2030 года.</w:t>
      </w:r>
    </w:p>
    <w:p>
      <w:pPr>
        <w:pStyle w:val="Normal"/>
        <w:ind w:firstLine="720"/>
        <w:rPr>
          <w:rStyle w:val="Style15"/>
        </w:rPr>
      </w:pPr>
      <w:r>
        <w:rPr/>
      </w:r>
    </w:p>
    <w:tbl>
      <w:tblPr>
        <w:tblW w:w="10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3432"/>
      </w:tblGrid>
      <w:tr>
        <w:trPr/>
        <w:tc>
          <w:tcPr>
            <w:tcW w:w="6867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Председатель Правительства</w:t>
              <w:br/>
              <w:t>Российской Федерации</w:t>
            </w:r>
          </w:p>
        </w:tc>
        <w:tc>
          <w:tcPr>
            <w:tcW w:w="3432" w:type="dxa"/>
            <w:tcBorders/>
            <w:shd w:fill="auto" w:val="clear"/>
          </w:tcPr>
          <w:p>
            <w:pPr>
              <w:pStyle w:val="Style24"/>
              <w:tabs>
                <w:tab w:val="clear" w:pos="720"/>
              </w:tabs>
              <w:ind w:hanging="0"/>
              <w:jc w:val="right"/>
              <w:rPr/>
            </w:pPr>
            <w:r>
              <w:rPr/>
              <w:t>М. Мишустин</w:t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w="11906" w:h="16800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firstLine="720"/>
        <w:rPr>
          <w:rStyle w:val="Style15"/>
        </w:rPr>
      </w:pPr>
      <w:r>
        <w:rPr/>
      </w:r>
    </w:p>
    <w:p>
      <w:pPr>
        <w:pStyle w:val="Normal"/>
        <w:ind w:firstLine="720"/>
        <w:rPr>
          <w:rStyle w:val="Style15"/>
        </w:rPr>
      </w:pPr>
      <w:r>
        <w:rPr/>
      </w:r>
    </w:p>
    <w:p>
      <w:pPr>
        <w:pStyle w:val="Normal"/>
        <w:ind w:firstLine="698"/>
        <w:jc w:val="right"/>
        <w:rPr/>
      </w:pPr>
      <w:bookmarkStart w:id="0" w:name="sub_1000"/>
      <w:bookmarkEnd w:id="0"/>
      <w:r>
        <w:rPr>
          <w:rStyle w:val="Style14"/>
        </w:rPr>
        <w:t>УТВЕРЖДЕН</w:t>
      </w:r>
      <w:r>
        <w:rPr/>
        <w:br/>
      </w:r>
      <w:hyperlink w:anchor="sub_0">
        <w:r>
          <w:rPr>
            <w:rStyle w:val="Style13"/>
          </w:rPr>
          <w:t>распоряжением</w:t>
        </w:r>
      </w:hyperlink>
      <w:r>
        <w:rPr>
          <w:rStyle w:val="Style14"/>
        </w:rPr>
        <w:t xml:space="preserve"> Правительства</w:t>
      </w:r>
      <w:r>
        <w:rPr/>
        <w:br/>
      </w:r>
      <w:r>
        <w:rPr>
          <w:rStyle w:val="Style14"/>
        </w:rPr>
        <w:t>Российской Федерации</w:t>
      </w:r>
      <w:r>
        <w:rPr/>
        <w:br/>
      </w:r>
      <w:r>
        <w:rPr>
          <w:rStyle w:val="Style14"/>
        </w:rPr>
        <w:t>от 6 октября 2021 г. N 2816-р</w:t>
      </w:r>
    </w:p>
    <w:p>
      <w:pPr>
        <w:pStyle w:val="Normal"/>
        <w:ind w:firstLine="720"/>
        <w:rPr>
          <w:rStyle w:val="Style15"/>
        </w:rPr>
      </w:pPr>
      <w:r>
        <w:rPr/>
      </w:r>
      <w:bookmarkStart w:id="1" w:name="sub_1000"/>
      <w:bookmarkStart w:id="2" w:name="sub_1000"/>
      <w:bookmarkEnd w:id="2"/>
    </w:p>
    <w:p>
      <w:pPr>
        <w:pStyle w:val="1"/>
        <w:rPr/>
      </w:pPr>
      <w:r>
        <w:rPr/>
        <w:t>Перечень</w:t>
        <w:br/>
        <w:t>инициатив социально-экономического развития Российской Федерации до 2030 года</w:t>
      </w:r>
    </w:p>
    <w:p>
      <w:pPr>
        <w:pStyle w:val="Normal"/>
        <w:ind w:firstLine="720"/>
        <w:rPr>
          <w:rStyle w:val="Style15"/>
        </w:rPr>
      </w:pPr>
      <w:r>
        <w:rPr/>
      </w:r>
    </w:p>
    <w:tbl>
      <w:tblPr>
        <w:tblW w:w="151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7419"/>
        <w:gridCol w:w="7142"/>
      </w:tblGrid>
      <w:tr>
        <w:trPr/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7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Наименование инициативы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tabs>
                <w:tab w:val="clear" w:pos="720"/>
              </w:tabs>
              <w:ind w:hanging="0"/>
              <w:jc w:val="center"/>
              <w:rPr/>
            </w:pPr>
            <w:r>
              <w:rPr/>
              <w:t>Уполномоченный орган (организация), ответственный за реализацию инициативы</w:t>
            </w:r>
          </w:p>
        </w:tc>
      </w:tr>
      <w:tr>
        <w:trPr/>
        <w:tc>
          <w:tcPr>
            <w:tcW w:w="15120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20"/>
              </w:tabs>
              <w:spacing w:before="0" w:after="0"/>
              <w:ind w:hanging="0"/>
              <w:rPr>
                <w:b w:val="false"/>
                <w:b w:val="false"/>
              </w:rPr>
            </w:pPr>
            <w:bookmarkStart w:id="3" w:name="sub_1100"/>
            <w:r>
              <w:rPr/>
              <w:t>I. Социальная сфера</w:t>
            </w:r>
            <w:bookmarkEnd w:id="3"/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4" w:name="sub_1001"/>
            <w:r>
              <w:rPr/>
              <w:t>1.</w:t>
            </w:r>
            <w:bookmarkEnd w:id="4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Санитарный щит страны - безопасность для здоровья (предупреждение, выявление, реагирование)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Роспотребнадзор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5" w:name="sub_1002"/>
            <w:r>
              <w:rPr/>
              <w:t>2.</w:t>
            </w:r>
            <w:bookmarkEnd w:id="5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Первичное звено для каждого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Минздрав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6" w:name="sub_1003"/>
            <w:r>
              <w:rPr/>
              <w:t>3.</w:t>
            </w:r>
            <w:bookmarkEnd w:id="6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Оптимальная для восстановления здоровья медицинская реабилитация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Минздрав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7" w:name="sub_1004"/>
            <w:r>
              <w:rPr/>
              <w:t>4.</w:t>
            </w:r>
            <w:bookmarkEnd w:id="7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Медицинская наука для человека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Минздрав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8" w:name="sub_1005"/>
            <w:r>
              <w:rPr/>
              <w:t>5.</w:t>
            </w:r>
            <w:bookmarkEnd w:id="8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Социальное казначейство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Минтруд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9" w:name="sub_1006"/>
            <w:r>
              <w:rPr/>
              <w:t>6.</w:t>
            </w:r>
            <w:bookmarkEnd w:id="9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Профессионалитет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Минпросвещения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10" w:name="sub_1007"/>
            <w:r>
              <w:rPr/>
              <w:t>7.</w:t>
            </w:r>
            <w:bookmarkEnd w:id="10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Придумано в России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Минкультуры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11" w:name="sub_1008"/>
            <w:r>
              <w:rPr/>
              <w:t>8.</w:t>
            </w:r>
            <w:bookmarkEnd w:id="11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Пушкинская карта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Минкультуры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12" w:name="sub_1009"/>
            <w:r>
              <w:rPr/>
              <w:t>9.</w:t>
            </w:r>
            <w:bookmarkEnd w:id="12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"Бизнес-спринт" (Я выбираю спорт)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Минспорт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13" w:name="sub_1010"/>
            <w:r>
              <w:rPr/>
              <w:t>10.</w:t>
            </w:r>
            <w:bookmarkEnd w:id="13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Россия - привлекательная для учебы и работы страна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Минэкономразвития России</w:t>
            </w:r>
          </w:p>
        </w:tc>
      </w:tr>
      <w:tr>
        <w:trPr/>
        <w:tc>
          <w:tcPr>
            <w:tcW w:w="15120" w:type="dxa"/>
            <w:gridSpan w:val="3"/>
            <w:tcBorders/>
            <w:shd w:fill="auto" w:val="clear"/>
          </w:tcPr>
          <w:p>
            <w:pPr>
              <w:pStyle w:val="1"/>
              <w:tabs>
                <w:tab w:val="clear" w:pos="720"/>
              </w:tabs>
              <w:spacing w:before="0" w:after="0"/>
              <w:ind w:hanging="0"/>
              <w:rPr>
                <w:b w:val="false"/>
                <w:b w:val="false"/>
              </w:rPr>
            </w:pPr>
            <w:bookmarkStart w:id="14" w:name="sub_1200"/>
            <w:r>
              <w:rPr/>
              <w:t>II. Строительство</w:t>
            </w:r>
            <w:bookmarkEnd w:id="14"/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15" w:name="sub_1011"/>
            <w:r>
              <w:rPr/>
              <w:t>11.</w:t>
            </w:r>
            <w:bookmarkEnd w:id="15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Реинжиниринг правил промышленного строительства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Минэкономразвития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16" w:name="sub_1012"/>
            <w:r>
              <w:rPr/>
              <w:t>12.</w:t>
            </w:r>
            <w:bookmarkEnd w:id="16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Города больших возможностей</w:t>
            </w:r>
          </w:p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и возрождение малых форм расселения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Минэкономразвития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17" w:name="sub_1013"/>
            <w:r>
              <w:rPr/>
              <w:t>13.</w:t>
            </w:r>
            <w:bookmarkEnd w:id="17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Национальная система пространственных данных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Росреестр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18" w:name="sub_1014"/>
            <w:r>
              <w:rPr/>
              <w:t>14.</w:t>
            </w:r>
            <w:bookmarkEnd w:id="18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Мой частный дом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Минстрой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19" w:name="sub_1015"/>
            <w:r>
              <w:rPr/>
              <w:t>15.</w:t>
            </w:r>
            <w:bookmarkEnd w:id="19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  <w:t>Мобильный город</w:t>
            </w:r>
            <w:hyperlink w:anchor="sub_1111">
              <w:r>
                <w:rPr>
                  <w:rStyle w:val="Style13"/>
                  <w:b w:val="false"/>
                  <w:color w:val="106BBE"/>
                </w:rPr>
                <w:t>*</w:t>
              </w:r>
            </w:hyperlink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Минтранс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20" w:name="sub_1016"/>
            <w:r>
              <w:rPr/>
              <w:t>16.</w:t>
            </w:r>
            <w:bookmarkEnd w:id="20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Новый ритм строительства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Минстрой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21" w:name="sub_1017"/>
            <w:r>
              <w:rPr/>
              <w:t>17.</w:t>
            </w:r>
            <w:bookmarkEnd w:id="21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Инфраструктурное меню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Минстрой России</w:t>
            </w:r>
          </w:p>
        </w:tc>
      </w:tr>
      <w:tr>
        <w:trPr/>
        <w:tc>
          <w:tcPr>
            <w:tcW w:w="15120" w:type="dxa"/>
            <w:gridSpan w:val="3"/>
            <w:tcBorders/>
            <w:shd w:fill="auto" w:val="clear"/>
          </w:tcPr>
          <w:p>
            <w:pPr>
              <w:pStyle w:val="1"/>
              <w:tabs>
                <w:tab w:val="clear" w:pos="720"/>
              </w:tabs>
              <w:spacing w:before="0" w:after="0"/>
              <w:ind w:hanging="0"/>
              <w:rPr>
                <w:b w:val="false"/>
                <w:b w:val="false"/>
              </w:rPr>
            </w:pPr>
            <w:bookmarkStart w:id="22" w:name="sub_1300"/>
            <w:r>
              <w:rPr/>
              <w:t>III. Экология</w:t>
            </w:r>
            <w:bookmarkEnd w:id="22"/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23" w:name="sub_1018"/>
            <w:r>
              <w:rPr/>
              <w:t>18.</w:t>
            </w:r>
            <w:bookmarkEnd w:id="23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Генеральная уборка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Минприроды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24" w:name="sub_1019"/>
            <w:r>
              <w:rPr/>
              <w:t>19.</w:t>
            </w:r>
            <w:bookmarkEnd w:id="24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Экономика замкнутого цикла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Минприроды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25" w:name="sub_1020"/>
            <w:r>
              <w:rPr/>
              <w:t>20.</w:t>
            </w:r>
            <w:bookmarkEnd w:id="25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Политика низкоуглеродного развития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Минэкономразвития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26" w:name="sub_1021"/>
            <w:r>
              <w:rPr/>
              <w:t>21.</w:t>
            </w:r>
            <w:bookmarkEnd w:id="26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Геология: возрождение легенды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Минприроды России</w:t>
            </w:r>
          </w:p>
        </w:tc>
      </w:tr>
      <w:tr>
        <w:trPr/>
        <w:tc>
          <w:tcPr>
            <w:tcW w:w="15120" w:type="dxa"/>
            <w:gridSpan w:val="3"/>
            <w:tcBorders/>
            <w:shd w:fill="auto" w:val="clear"/>
          </w:tcPr>
          <w:p>
            <w:pPr>
              <w:pStyle w:val="1"/>
              <w:tabs>
                <w:tab w:val="clear" w:pos="720"/>
              </w:tabs>
              <w:spacing w:before="0" w:after="0"/>
              <w:ind w:hanging="0"/>
              <w:rPr>
                <w:b w:val="false"/>
                <w:b w:val="false"/>
              </w:rPr>
            </w:pPr>
            <w:bookmarkStart w:id="27" w:name="sub_1400"/>
            <w:r>
              <w:rPr/>
              <w:t>IV. Цифровая трансформация</w:t>
            </w:r>
            <w:bookmarkEnd w:id="27"/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28" w:name="sub_1022"/>
            <w:r>
              <w:rPr/>
              <w:t>22.</w:t>
            </w:r>
            <w:bookmarkEnd w:id="28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  <w:t>Доступ в Интернет</w:t>
            </w:r>
            <w:hyperlink w:anchor="sub_1111">
              <w:r>
                <w:rPr>
                  <w:rStyle w:val="Style13"/>
                  <w:b w:val="false"/>
                  <w:color w:val="106BBE"/>
                </w:rPr>
                <w:t>*</w:t>
              </w:r>
            </w:hyperlink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Минцифры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29" w:name="sub_1023"/>
            <w:r>
              <w:rPr/>
              <w:t>23.</w:t>
            </w:r>
            <w:bookmarkEnd w:id="29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Цифровой профиль гражданина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Минцифры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30" w:name="sub_1024"/>
            <w:r>
              <w:rPr/>
              <w:t>24.</w:t>
            </w:r>
            <w:bookmarkEnd w:id="30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Госуслуги онлайн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Минцифры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31" w:name="sub_1025"/>
            <w:r>
              <w:rPr/>
              <w:t>25.</w:t>
            </w:r>
            <w:bookmarkEnd w:id="31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Электронный документооборот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Минцифры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32" w:name="sub_1026"/>
            <w:r>
              <w:rPr/>
              <w:t>26.</w:t>
            </w:r>
            <w:bookmarkEnd w:id="32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Подготовка кадров для ИТ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Минцифры России</w:t>
            </w:r>
          </w:p>
        </w:tc>
      </w:tr>
      <w:tr>
        <w:trPr/>
        <w:tc>
          <w:tcPr>
            <w:tcW w:w="15120" w:type="dxa"/>
            <w:gridSpan w:val="3"/>
            <w:tcBorders/>
            <w:shd w:fill="auto" w:val="clear"/>
          </w:tcPr>
          <w:p>
            <w:pPr>
              <w:pStyle w:val="1"/>
              <w:tabs>
                <w:tab w:val="clear" w:pos="720"/>
              </w:tabs>
              <w:spacing w:before="0" w:after="0"/>
              <w:ind w:hanging="0"/>
              <w:rPr>
                <w:b w:val="false"/>
                <w:b w:val="false"/>
              </w:rPr>
            </w:pPr>
            <w:bookmarkStart w:id="33" w:name="sub_1500"/>
            <w:r>
              <w:rPr/>
              <w:t>V. Технологический рывок</w:t>
            </w:r>
            <w:bookmarkEnd w:id="33"/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34" w:name="sub_1027"/>
            <w:r>
              <w:rPr/>
              <w:t>27.</w:t>
            </w:r>
            <w:bookmarkEnd w:id="34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Чистая энергетика (водород и ВИЭ)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Минэнерго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35" w:name="sub_1028"/>
            <w:r>
              <w:rPr/>
              <w:t>28.</w:t>
            </w:r>
            <w:bookmarkEnd w:id="35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  <w:t>Новая атомная энергетика, в том числе малые атомные реакторы для удаленных территорий</w:t>
            </w:r>
            <w:hyperlink w:anchor="sub_1111">
              <w:r>
                <w:rPr>
                  <w:rStyle w:val="Style13"/>
                  <w:b w:val="false"/>
                  <w:color w:val="106BBE"/>
                </w:rPr>
                <w:t>*</w:t>
              </w:r>
            </w:hyperlink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Государственная корпорация по атомной энергии "Росатом"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36" w:name="sub_1029"/>
            <w:r>
              <w:rPr/>
              <w:t>29.</w:t>
            </w:r>
            <w:bookmarkEnd w:id="36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  <w:t>Развитие производств новых материалов</w:t>
            </w:r>
            <w:hyperlink w:anchor="sub_1111">
              <w:r>
                <w:rPr>
                  <w:rStyle w:val="Style13"/>
                  <w:b w:val="false"/>
                  <w:color w:val="106BBE"/>
                </w:rPr>
                <w:t>*</w:t>
              </w:r>
            </w:hyperlink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Минпромторг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37" w:name="sub_1030"/>
            <w:r>
              <w:rPr/>
              <w:t>30.</w:t>
            </w:r>
            <w:bookmarkEnd w:id="37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Прорыв на рынки СПГ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Минпромторг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38" w:name="sub_1031"/>
            <w:r>
              <w:rPr/>
              <w:t>31.</w:t>
            </w:r>
            <w:bookmarkEnd w:id="38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Аграрная наука - шаг в будущее развитие АПК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Минсельхоз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39" w:name="sub_1032"/>
            <w:r>
              <w:rPr/>
              <w:t>32.</w:t>
            </w:r>
            <w:bookmarkEnd w:id="39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  <w:t>Круглогодичный Севморпуть</w:t>
            </w:r>
            <w:hyperlink w:anchor="sub_1111">
              <w:r>
                <w:rPr>
                  <w:rStyle w:val="Style13"/>
                  <w:b w:val="false"/>
                  <w:color w:val="106BBE"/>
                </w:rPr>
                <w:t>*</w:t>
              </w:r>
            </w:hyperlink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Государственная корпорация по атомной энергии "Росатом"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40" w:name="sub_1033"/>
            <w:r>
              <w:rPr/>
              <w:t>33.</w:t>
            </w:r>
            <w:bookmarkEnd w:id="40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  <w:t>Беспилотные логистические коридоры</w:t>
            </w:r>
            <w:hyperlink w:anchor="sub_1111">
              <w:r>
                <w:rPr>
                  <w:rStyle w:val="Style13"/>
                  <w:b w:val="false"/>
                  <w:color w:val="106BBE"/>
                </w:rPr>
                <w:t>*</w:t>
              </w:r>
            </w:hyperlink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Минтранс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41" w:name="sub_1034"/>
            <w:r>
              <w:rPr/>
              <w:t>34.</w:t>
            </w:r>
            <w:bookmarkEnd w:id="41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Автономное судовождение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Минтранс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42" w:name="sub_1035"/>
            <w:r>
              <w:rPr/>
              <w:t>35.</w:t>
            </w:r>
            <w:bookmarkEnd w:id="42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  <w:t>Беспилотная аэродоставка грузов</w:t>
            </w:r>
            <w:hyperlink w:anchor="sub_1111">
              <w:r>
                <w:rPr>
                  <w:rStyle w:val="Style13"/>
                  <w:b w:val="false"/>
                  <w:color w:val="106BBE"/>
                </w:rPr>
                <w:t>*</w:t>
              </w:r>
            </w:hyperlink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Минтранс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43" w:name="sub_1036"/>
            <w:r>
              <w:rPr/>
              <w:t>36.</w:t>
            </w:r>
            <w:bookmarkEnd w:id="43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Персональные медицинские помощники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Минздрав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44" w:name="sub_1037"/>
            <w:r>
              <w:rPr/>
              <w:t>37.</w:t>
            </w:r>
            <w:bookmarkEnd w:id="44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r>
              <w:rPr/>
              <w:t>Электроавтомобиль и водородный автомобиль</w:t>
            </w:r>
            <w:hyperlink w:anchor="sub_1111">
              <w:r>
                <w:rPr>
                  <w:rStyle w:val="Style13"/>
                  <w:b w:val="false"/>
                  <w:color w:val="106BBE"/>
                </w:rPr>
                <w:t>*</w:t>
              </w:r>
            </w:hyperlink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Минэкономразвития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45" w:name="sub_1038"/>
            <w:r>
              <w:rPr/>
              <w:t>38.</w:t>
            </w:r>
            <w:bookmarkEnd w:id="45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Взлет - от стартапа до IPO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Минэкономразвития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46" w:name="sub_1039"/>
            <w:r>
              <w:rPr/>
              <w:t>39.</w:t>
            </w:r>
            <w:bookmarkEnd w:id="46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Цифровая экосистема "Одно окно" экспортера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Акционерное общество "Российский экспортный центр"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47" w:name="sub_1040"/>
            <w:r>
              <w:rPr/>
              <w:t>40.</w:t>
            </w:r>
            <w:bookmarkEnd w:id="47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Платформа университетского технологического предпринимательства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Минобрнауки России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48" w:name="sub_1041"/>
            <w:r>
              <w:rPr/>
              <w:t>41.</w:t>
            </w:r>
            <w:bookmarkEnd w:id="48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Передовые инженерные школы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Минобрнауки России</w:t>
            </w:r>
          </w:p>
        </w:tc>
      </w:tr>
      <w:tr>
        <w:trPr/>
        <w:tc>
          <w:tcPr>
            <w:tcW w:w="15120" w:type="dxa"/>
            <w:gridSpan w:val="3"/>
            <w:tcBorders/>
            <w:shd w:fill="auto" w:val="clear"/>
          </w:tcPr>
          <w:p>
            <w:pPr>
              <w:pStyle w:val="1"/>
              <w:tabs>
                <w:tab w:val="clear" w:pos="720"/>
              </w:tabs>
              <w:spacing w:before="0" w:after="0"/>
              <w:ind w:hanging="0"/>
              <w:rPr>
                <w:b w:val="false"/>
                <w:b w:val="false"/>
              </w:rPr>
            </w:pPr>
            <w:bookmarkStart w:id="49" w:name="sub_1600"/>
            <w:r>
              <w:rPr/>
              <w:t>VI. Государство для граждан</w:t>
            </w:r>
            <w:bookmarkEnd w:id="49"/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spacing w:before="0" w:after="0"/>
              <w:ind w:hanging="0"/>
              <w:rPr/>
            </w:pPr>
            <w:bookmarkStart w:id="50" w:name="sub_1042"/>
            <w:r>
              <w:rPr/>
              <w:t>42.</w:t>
            </w:r>
            <w:bookmarkEnd w:id="50"/>
          </w:p>
        </w:tc>
        <w:tc>
          <w:tcPr>
            <w:tcW w:w="7419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Клиентоцентричность</w:t>
            </w:r>
          </w:p>
        </w:tc>
        <w:tc>
          <w:tcPr>
            <w:tcW w:w="7142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ind w:hanging="0"/>
              <w:rPr/>
            </w:pPr>
            <w:r>
              <w:rPr/>
              <w:t>Минэкономразвития России</w:t>
            </w:r>
          </w:p>
        </w:tc>
      </w:tr>
    </w:tbl>
    <w:p>
      <w:pPr>
        <w:pStyle w:val="Normal"/>
        <w:ind w:firstLine="720"/>
        <w:rPr>
          <w:rStyle w:val="Style15"/>
        </w:rPr>
      </w:pPr>
      <w:r>
        <w:rPr/>
      </w:r>
    </w:p>
    <w:p>
      <w:pPr>
        <w:pStyle w:val="Style22"/>
        <w:ind w:hanging="0"/>
        <w:rPr/>
      </w:pPr>
      <w:r>
        <w:rPr>
          <w:sz w:val="22"/>
        </w:rPr>
        <w:t>──────────────────────────────</w:t>
      </w:r>
    </w:p>
    <w:p>
      <w:pPr>
        <w:pStyle w:val="Normal"/>
        <w:ind w:firstLine="720"/>
        <w:rPr/>
      </w:pPr>
      <w:bookmarkStart w:id="51" w:name="sub_1111"/>
      <w:bookmarkEnd w:id="51"/>
      <w:r>
        <w:rPr>
          <w:rStyle w:val="Style15"/>
          <w:sz w:val="20"/>
        </w:rPr>
        <w:t>* Предусмотрена реализация проектов, финансирование которых может быть осуществлено с привлечением средств Фонда национального благосостояния в установленном порядке.</w:t>
      </w:r>
    </w:p>
    <w:p>
      <w:pPr>
        <w:pStyle w:val="Normal"/>
        <w:ind w:firstLine="720"/>
        <w:rPr/>
      </w:pPr>
      <w:r>
        <w:rPr/>
      </w:r>
      <w:bookmarkStart w:id="52" w:name="sub_1111"/>
      <w:bookmarkStart w:id="53" w:name="sub_1111"/>
      <w:bookmarkEnd w:id="53"/>
    </w:p>
    <w:sectPr>
      <w:headerReference w:type="default" r:id="rId5"/>
      <w:footerReference w:type="default" r:id="rId6"/>
      <w:type w:val="nextPage"/>
      <w:pgSz w:orient="landscape" w:w="16838" w:h="11906"/>
      <w:pgMar w:left="800" w:right="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98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432"/>
      <w:gridCol w:w="3433"/>
      <w:gridCol w:w="3433"/>
    </w:tblGrid>
    <w:tr>
      <w:trPr/>
      <w:tc>
        <w:tcPr>
          <w:tcW w:w="3432" w:type="dxa"/>
          <w:tcBorders/>
          <w:shd w:fill="auto" w:val="clear"/>
        </w:tcPr>
        <w:p>
          <w:pPr>
            <w:pStyle w:val="Style27"/>
            <w:tabs>
              <w:tab w:val="clear" w:pos="720"/>
            </w:tabs>
            <w:suppressAutoHyphens w:val="false"/>
            <w:spacing w:before="0" w:after="0"/>
            <w:ind w:left="0" w:hanging="0"/>
            <w:jc w:val="left"/>
            <w:rPr/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> CREATEDATE \@"dd\.MM\.yyyy"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27"/>
            <w:tabs>
              <w:tab w:val="clear" w:pos="720"/>
            </w:tabs>
            <w:suppressAutoHyphens w:val="false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27"/>
            <w:tabs>
              <w:tab w:val="clear" w:pos="720"/>
            </w:tabs>
            <w:suppressAutoHyphens w:val="false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Normal"/>
      <w:rPr>
        <w:rFonts w:ascii="Arial" w:hAnsi="Arial"/>
      </w:rPr>
    </w:pPr>
    <w:r>
      <w:rPr>
        <w:rFonts w:ascii="Arial" w:hAnsi="Arial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237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  <w:shd w:fill="auto" w:val="clear"/>
        </w:tcPr>
        <w:p>
          <w:pPr>
            <w:pStyle w:val="Style27"/>
            <w:tabs>
              <w:tab w:val="clear" w:pos="720"/>
            </w:tabs>
            <w:suppressAutoHyphens w:val="false"/>
            <w:spacing w:before="0" w:after="0"/>
            <w:ind w:left="0" w:hanging="0"/>
            <w:jc w:val="left"/>
            <w:rPr/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> CREATEDATE \@"dd\.MM\.yyyy"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27"/>
            <w:tabs>
              <w:tab w:val="clear" w:pos="720"/>
            </w:tabs>
            <w:suppressAutoHyphens w:val="false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5079" w:type="dxa"/>
          <w:tcBorders/>
          <w:shd w:fill="auto" w:val="clear"/>
        </w:tcPr>
        <w:p>
          <w:pPr>
            <w:pStyle w:val="Style27"/>
            <w:tabs>
              <w:tab w:val="clear" w:pos="720"/>
            </w:tabs>
            <w:suppressAutoHyphens w:val="false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Normal"/>
      <w:rPr>
        <w:rFonts w:ascii="Arial" w:hAnsi="Arial"/>
      </w:rPr>
    </w:pPr>
    <w:r>
      <w:rPr>
        <w:rFonts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uppressAutoHyphens w:val="false"/>
      <w:spacing w:before="0" w:after="0"/>
      <w:ind w:left="0" w:hanging="0"/>
      <w:jc w:val="left"/>
      <w:rPr/>
    </w:pPr>
    <w:r>
      <w:rPr>
        <w:sz w:val="20"/>
      </w:rPr>
      <w:t>Распоряжение Правительства РФ от 6 октября 2021 г. N 2816-р Об утверждении перечня инициатив…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uppressAutoHyphens w:val="false"/>
      <w:spacing w:before="0" w:after="0"/>
      <w:ind w:left="0" w:hanging="0"/>
      <w:jc w:val="left"/>
      <w:rPr/>
    </w:pPr>
    <w:r>
      <w:rPr>
        <w:sz w:val="20"/>
      </w:rPr>
      <w:t>Распоряжение Правительства РФ от 6 октября 2021 г. N 2816-р Об утверждении перечня инициатив социально-экономического развития РФ до 2030 г.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b w:val="false"/>
      <w:color w:val="106BBE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Цветовое выделение для Текст"/>
    <w:qFormat/>
    <w:rPr/>
  </w:style>
  <w:style w:type="character" w:styleId="ListLabel1">
    <w:name w:val="ListLabel 1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b w:val="false"/>
      <w:color w:val="106BB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Таблицы (моноширинный)"/>
    <w:basedOn w:val="Normal"/>
    <w:qFormat/>
    <w:pPr>
      <w:ind w:hanging="0"/>
    </w:pPr>
    <w:rPr>
      <w:rFonts w:ascii="Courier New" w:hAnsi="Courier New"/>
    </w:rPr>
  </w:style>
  <w:style w:type="paragraph" w:styleId="Style23">
    <w:name w:val="Прижатый влево"/>
    <w:basedOn w:val="Normal"/>
    <w:qFormat/>
    <w:pPr>
      <w:ind w:hanging="0"/>
      <w:jc w:val="left"/>
    </w:pPr>
    <w:rPr/>
  </w:style>
  <w:style w:type="paragraph" w:styleId="Style24">
    <w:name w:val="Нормальный (таблица)"/>
    <w:basedOn w:val="Normal"/>
    <w:qFormat/>
    <w:pPr>
      <w:ind w:hanging="0"/>
    </w:pPr>
    <w:rPr/>
  </w:style>
  <w:style w:type="paragraph" w:styleId="Style25">
    <w:name w:val="Footnote Text"/>
    <w:basedOn w:val="Normal"/>
    <w:pPr>
      <w:ind w:firstLine="720"/>
    </w:pPr>
    <w:rPr>
      <w:sz w:val="20"/>
    </w:rPr>
  </w:style>
  <w:style w:type="paragraph" w:styleId="Style26">
    <w:name w:val="Header"/>
    <w:basedOn w:val="Normal"/>
    <w:pPr>
      <w:ind w:hanging="0"/>
      <w:jc w:val="center"/>
    </w:pPr>
    <w:rPr>
      <w:rFonts w:ascii="Times New Roman" w:hAnsi="Times New Roman"/>
      <w:sz w:val="20"/>
    </w:rPr>
  </w:style>
  <w:style w:type="paragraph" w:styleId="Style27">
    <w:name w:val="Footer"/>
    <w:basedOn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ternet.garant.ru/document/redirect/402892803/0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LibreOffice/6.2.8.2$Windows_x86 LibreOffice_project/f82ddfca21ebc1e222a662a32b25c0c9d20169ee</Application>
  <Pages>5</Pages>
  <Words>442</Words>
  <Characters>3228</Characters>
  <CharactersWithSpaces>3523</CharactersWithSpaces>
  <Paragraphs>151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ru-RU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